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056094" w:rsidRPr="00056094" w:rsidTr="00056094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94" w:rsidRPr="00056094" w:rsidRDefault="00056094" w:rsidP="000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056094" w:rsidRPr="00056094" w:rsidTr="00056094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94" w:rsidRPr="00056094" w:rsidRDefault="00056094" w:rsidP="000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056094" w:rsidRPr="00056094" w:rsidTr="00056094">
        <w:trPr>
          <w:trHeight w:val="6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94" w:rsidRPr="00056094" w:rsidRDefault="00056094" w:rsidP="000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</w:t>
            </w:r>
            <w:bookmarkStart w:id="0" w:name="_GoBack"/>
            <w:bookmarkEnd w:id="0"/>
            <w:r w:rsidRPr="000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еятельности, в том числе педагогическая практика)</w:t>
            </w:r>
          </w:p>
        </w:tc>
      </w:tr>
      <w:tr w:rsidR="00056094" w:rsidRPr="00056094" w:rsidTr="00056094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94" w:rsidRPr="00056094" w:rsidRDefault="00056094" w:rsidP="000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056094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056094"/>
    <w:rsid w:val="00235F71"/>
    <w:rsid w:val="002C2DBF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2021-02-09T07:42:00Z</dcterms:modified>
</cp:coreProperties>
</file>