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5C" w:rsidRPr="003219A7" w:rsidRDefault="0098585C" w:rsidP="0006552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7938"/>
      </w:tblGrid>
      <w:tr w:rsidR="00065521" w:rsidRPr="005A3C3B" w:rsidTr="0006552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21" w:rsidRPr="005A3C3B" w:rsidRDefault="00065521" w:rsidP="00C1539F">
            <w:pPr>
              <w:spacing w:after="0" w:line="240" w:lineRule="auto"/>
              <w:jc w:val="center"/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21" w:rsidRPr="005A3C3B" w:rsidRDefault="005A3C3B" w:rsidP="00C1539F">
            <w:pPr>
              <w:spacing w:after="0" w:line="240" w:lineRule="auto"/>
              <w:jc w:val="center"/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</w:pPr>
            <w:r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065521" w:rsidRPr="005A3C3B">
              <w:rPr>
                <w:rFonts w:ascii="PF DinDisplay Pro" w:eastAsia="Times New Roman" w:hAnsi="PF DinDisplay Pro" w:cs="Tahoma"/>
                <w:b/>
                <w:sz w:val="24"/>
                <w:szCs w:val="24"/>
                <w:lang w:eastAsia="ru-RU"/>
              </w:rPr>
              <w:t>исциплина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Философия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Иностранный язык в сфере юриспруденции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Гражданский процесс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Арбитражный процесс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Уголовный процесс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Экологическое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Земельное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Финансовое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Налоговое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Предпринимательское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Криминалистика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Право социального обеспечения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Конституционное право зарубежных стран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Криминология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Информационные технологии в юридической деятельности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Экономика для юристов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Русский язык и ораторское искусство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Юридическая психология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История политических и правовых учений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Наследственное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Жилищное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конституционного права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Административно-процессуальное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теории государства и права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Римское право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уголовного права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5A3C3B" w:rsidRDefault="00065521" w:rsidP="00065521">
            <w:pPr>
              <w:pStyle w:val="a3"/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Дисциплины по выбору Б1.В.ДВ.1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Юридическая социология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5A3C3B" w:rsidRDefault="00065521" w:rsidP="00065521">
            <w:pPr>
              <w:pStyle w:val="a3"/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Дисциплины по выбору Б1.В.ДВ.2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Профессиональная юридическая деятельность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Судебная власть и правоохранительные органы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5A3C3B" w:rsidRDefault="00065521" w:rsidP="00065521">
            <w:pPr>
              <w:pStyle w:val="a3"/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Дисциплины по выбору Б1.В.ДВ.3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Избирательное право и избирательный процесс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Прокурорский надзор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5A3C3B" w:rsidRDefault="00065521" w:rsidP="00065521">
            <w:pPr>
              <w:pStyle w:val="a3"/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Дисциплины по выбору Б1.В.ДВ.4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Контрактная система в сфере закупок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5A3C3B" w:rsidRDefault="00065521" w:rsidP="00065521">
            <w:pPr>
              <w:pStyle w:val="a3"/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Дисциплины по выбору Б1.В.ДВ.5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Конституционный процесс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Судебная экспертиза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5A3C3B" w:rsidRDefault="00065521" w:rsidP="00065521">
            <w:pPr>
              <w:pStyle w:val="a3"/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Дисциплины по выбору Б1.В.ДВ.6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Нотариат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Третейское судопроизводство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Медико-социальная экспертиза и реабилитация инвалидов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5A3C3B" w:rsidRDefault="00065521" w:rsidP="00065521">
            <w:pPr>
              <w:pStyle w:val="a3"/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Дисциплины по выбору Б1.В.ДВ.7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Правовые основы государственной службы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Исполнительная власть: сущность и формы реализации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5A3C3B" w:rsidRDefault="00065521" w:rsidP="00065521">
            <w:pPr>
              <w:pStyle w:val="a3"/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Дисциплины по выбору Б1.В.ДВ.8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Правовые основы организации государственного и муниципального управления в городе Москве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Административные процедуры в деятельности органов исполнительной власти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Учебная практика (правоприменительная)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Производственная практика (правоприменительная)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Государственный экзамен, ВКР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Актуальные проблемы налогового законодательства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Профессиональная юридическая этика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Сравнительное правоведение</w:t>
            </w:r>
          </w:p>
        </w:tc>
      </w:tr>
      <w:tr w:rsidR="00065521" w:rsidRPr="005A3C3B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5A3C3B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5A3C3B" w:rsidRDefault="00065521" w:rsidP="0098585C">
            <w:pPr>
              <w:spacing w:after="0" w:line="240" w:lineRule="auto"/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</w:pPr>
            <w:r w:rsidRPr="005A3C3B">
              <w:rPr>
                <w:rFonts w:ascii="PF DinDisplay Pro" w:eastAsia="Times New Roman" w:hAnsi="PF DinDisplay Pro" w:cs="Tahoma"/>
                <w:sz w:val="24"/>
                <w:szCs w:val="24"/>
                <w:lang w:eastAsia="ru-RU"/>
              </w:rPr>
              <w:t>Студенческая юридическая клиника</w:t>
            </w:r>
          </w:p>
        </w:tc>
      </w:tr>
    </w:tbl>
    <w:p w:rsidR="00074454" w:rsidRPr="005A3C3B" w:rsidRDefault="00074454" w:rsidP="0098585C">
      <w:pPr>
        <w:rPr>
          <w:rFonts w:ascii="PF DinDisplay Pro" w:hAnsi="PF DinDisplay Pro"/>
          <w:sz w:val="24"/>
          <w:szCs w:val="24"/>
        </w:rPr>
      </w:pPr>
    </w:p>
    <w:sectPr w:rsidR="00074454" w:rsidRPr="005A3C3B" w:rsidSect="000655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3F6F"/>
    <w:multiLevelType w:val="hybridMultilevel"/>
    <w:tmpl w:val="B0C0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C"/>
    <w:rsid w:val="00034657"/>
    <w:rsid w:val="00065521"/>
    <w:rsid w:val="00074454"/>
    <w:rsid w:val="001C62F2"/>
    <w:rsid w:val="001F6ECD"/>
    <w:rsid w:val="00206CF2"/>
    <w:rsid w:val="003219A7"/>
    <w:rsid w:val="003A1366"/>
    <w:rsid w:val="003B5657"/>
    <w:rsid w:val="004F51BE"/>
    <w:rsid w:val="0050100A"/>
    <w:rsid w:val="005A3C3B"/>
    <w:rsid w:val="00833677"/>
    <w:rsid w:val="0098585C"/>
    <w:rsid w:val="009C02EE"/>
    <w:rsid w:val="00C1539F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D12B"/>
  <w15:docId w15:val="{AAE2A6DF-0764-40BE-AEFF-F9916CB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Наталья Игоревна</dc:creator>
  <cp:lastModifiedBy>Гладышева Елена Алексеевна</cp:lastModifiedBy>
  <cp:revision>15</cp:revision>
  <cp:lastPrinted>2022-04-05T08:33:00Z</cp:lastPrinted>
  <dcterms:created xsi:type="dcterms:W3CDTF">2021-10-22T12:41:00Z</dcterms:created>
  <dcterms:modified xsi:type="dcterms:W3CDTF">2023-01-09T07:15:00Z</dcterms:modified>
</cp:coreProperties>
</file>