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9"/>
        <w:gridCol w:w="1713"/>
        <w:gridCol w:w="2194"/>
        <w:gridCol w:w="7388"/>
        <w:gridCol w:w="1119"/>
        <w:gridCol w:w="1067"/>
      </w:tblGrid>
      <w:tr>
        <w:tblPrEx>
          <w:shd w:val="clear" w:color="auto" w:fill="auto"/>
        </w:tblPrEx>
        <w:trPr>
          <w:trHeight w:val="20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Код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шифр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Вид обучения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Наименование профессии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специальности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направления подготовки наименование группы научных специальностей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Образовательная программа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направленность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шифр и наименование научной специальности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Количество выпускников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outline w:val="0"/>
                <w:color w:val="0a0a0a"/>
                <w:sz w:val="22"/>
                <w:szCs w:val="22"/>
                <w:rtl w:val="0"/>
                <w14:textFill>
                  <w14:solidFill>
                    <w14:srgbClr w14:val="0A0A0A"/>
                  </w14:solidFill>
                </w14:textFill>
              </w:rPr>
              <w:t>Количество трудоустроенных выпускников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38.04.01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Экономика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38.04.01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Экономика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экономическим развитием города»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19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19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государственными и муниципальными закупками»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39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38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государственными программами и проектами»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25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23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экспертизой в сфере закупок»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18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государственными и муниципальными закупками»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23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38.04.08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Финансы и кредит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38.04.08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Финансы и кредит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«Контроль и аудит в финансово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-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бюджетной сфере»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11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38.04.04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Магистратура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Государственное и муниципальное управление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38.04.04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Государственное и муниципальное управление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развитием ЖКХ и благоустройства»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30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27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38.03.04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Государственное и муниципальное управление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38.03.04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Государственное и муниципальное управление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городским хозяйством»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38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33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38.03.04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Государственное и муниципальное управление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38.03.04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Государственное и муниципальное управление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социально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-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культурным развитием мегаполиса»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31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41.03.05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Международные отношения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41.03.05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Международные отношения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«Международные и внешнеэкономические связи»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30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38.03.01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Экономика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38.03.01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Экономика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«Экономика и финансы организаций»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29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40.03.01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Юриспруденция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40.03.01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Юриспруденция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«Правовое регулирование гражданско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-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правовых отношений»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42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40.03.01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Юриспруденция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40.03.01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Юриспруденция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«Правовое регулирование деятельности органов государственной власти»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27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17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38.03.04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Государственное и муниципальное управление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38.03.04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Государственное и муниципальное управление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государственными услугами»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20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38.03.03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Управление персоналом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38.03.03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Управление персоналом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персоналом организации»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21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«Менеджмент организации»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6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38.03.02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Менеджмент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38.03.02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Менеджмент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«Корпоративное управление»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34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38.03.03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Бакалавриат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Управление персоналом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38.03.03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Управление персоналом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«Управление персоналом в международных организациях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,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компаниях и дипломатических представительствах»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39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f1f1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33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10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38.06.01</w:t>
            </w:r>
          </w:p>
        </w:tc>
        <w:tc>
          <w:tcPr>
            <w:tcW w:type="dxa" w:w="1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Подготовка кадров высшей квалификации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Экономика</w:t>
            </w:r>
          </w:p>
        </w:tc>
        <w:tc>
          <w:tcPr>
            <w:tcW w:type="dxa" w:w="7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Экономика Направленность 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(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профиль</w:t>
            </w:r>
            <w:r>
              <w:rPr>
                <w:rFonts w:ascii="Times Roman" w:hAnsi="Times Roman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 xml:space="preserve">): </w:t>
            </w:r>
            <w:r>
              <w:rPr>
                <w:rFonts w:ascii="Times Roman" w:hAnsi="Times Roman" w:hint="default"/>
                <w:outline w:val="0"/>
                <w:color w:val="22313f"/>
                <w:sz w:val="22"/>
                <w:szCs w:val="22"/>
                <w:rtl w:val="0"/>
                <w14:textFill>
                  <w14:solidFill>
                    <w14:srgbClr w14:val="22313F"/>
                  </w14:solidFill>
                </w14:textFill>
              </w:rPr>
              <w:t>«Экономика и управление народным хозяйством»</w:t>
            </w:r>
          </w:p>
        </w:tc>
        <w:tc>
          <w:tcPr>
            <w:tcW w:type="dxa" w:w="1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4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20"/>
              <w:left w:type="dxa" w:w="150"/>
              <w:bottom w:type="dxa" w:w="150"/>
              <w:right w:type="dxa" w:w="15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313f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313F"/>
                  </w14:solidFill>
                </w14:textFill>
              </w:rPr>
              <w:t>4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2313f"/>
          <w:sz w:val="22"/>
          <w:szCs w:val="22"/>
          <w:rtl w:val="0"/>
          <w14:textFill>
            <w14:solidFill>
              <w14:srgbClr w14:val="22313F"/>
            </w14:solidFill>
          </w14:textFill>
        </w:rPr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