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0F" w:rsidRPr="00F656B5" w:rsidRDefault="00DA510F" w:rsidP="00DA510F">
      <w:pPr>
        <w:ind w:firstLine="360"/>
        <w:jc w:val="center"/>
        <w:rPr>
          <w:rFonts w:ascii="PF DinDisplay Pro" w:hAnsi="PF DinDisplay Pro"/>
          <w:b/>
          <w:sz w:val="24"/>
          <w:szCs w:val="24"/>
        </w:rPr>
      </w:pPr>
      <w:r w:rsidRPr="00F656B5">
        <w:rPr>
          <w:rFonts w:ascii="PF DinDisplay Pro" w:eastAsia="Calibri" w:hAnsi="PF DinDisplay Pro"/>
          <w:b/>
          <w:sz w:val="24"/>
          <w:szCs w:val="24"/>
          <w:lang w:eastAsia="en-US"/>
        </w:rPr>
        <w:t xml:space="preserve">Результаты </w:t>
      </w:r>
      <w:r w:rsidRPr="00F656B5">
        <w:rPr>
          <w:rFonts w:ascii="PF DinDisplay Pro" w:hAnsi="PF DinDisplay Pro"/>
          <w:b/>
          <w:sz w:val="24"/>
          <w:szCs w:val="24"/>
        </w:rPr>
        <w:t>исследования уровня адаптации студентов - первокурсников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9"/>
        <w:gridCol w:w="4362"/>
        <w:gridCol w:w="2871"/>
        <w:gridCol w:w="1483"/>
      </w:tblGrid>
      <w:tr w:rsidR="00DA510F" w:rsidTr="00C31A2D">
        <w:tc>
          <w:tcPr>
            <w:tcW w:w="629" w:type="dxa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62" w:type="dxa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2871" w:type="dxa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Варианты ответов</w:t>
            </w:r>
          </w:p>
        </w:tc>
        <w:tc>
          <w:tcPr>
            <w:tcW w:w="1483" w:type="dxa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Результаты опроса</w:t>
            </w:r>
          </w:p>
        </w:tc>
      </w:tr>
      <w:tr w:rsidR="00DA510F" w:rsidTr="00C31A2D">
        <w:trPr>
          <w:trHeight w:val="330"/>
        </w:trPr>
        <w:tc>
          <w:tcPr>
            <w:tcW w:w="629" w:type="dxa"/>
            <w:vMerge w:val="restart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2" w:type="dxa"/>
            <w:vMerge w:val="restart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717525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Трудно ли Вам было привыкнуть к студенческой жизни?</w:t>
            </w:r>
          </w:p>
        </w:tc>
        <w:tc>
          <w:tcPr>
            <w:tcW w:w="2871" w:type="dxa"/>
          </w:tcPr>
          <w:p w:rsidR="00DA510F" w:rsidRPr="00717525" w:rsidRDefault="00511252" w:rsidP="00387679">
            <w:pPr>
              <w:pStyle w:val="a3"/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Не трудно</w:t>
            </w:r>
          </w:p>
        </w:tc>
        <w:tc>
          <w:tcPr>
            <w:tcW w:w="1483" w:type="dxa"/>
          </w:tcPr>
          <w:p w:rsidR="00DA510F" w:rsidRDefault="00511252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92,2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DA510F" w:rsidTr="00C31A2D">
        <w:trPr>
          <w:trHeight w:val="330"/>
        </w:trPr>
        <w:tc>
          <w:tcPr>
            <w:tcW w:w="629" w:type="dxa"/>
            <w:vMerge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DA510F" w:rsidRPr="00717525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2871" w:type="dxa"/>
          </w:tcPr>
          <w:p w:rsidR="00DA510F" w:rsidRDefault="00511252" w:rsidP="00387679">
            <w:pPr>
              <w:pStyle w:val="a3"/>
              <w:tabs>
                <w:tab w:val="left" w:pos="1134"/>
              </w:tabs>
              <w:spacing w:line="276" w:lineRule="auto"/>
              <w:jc w:val="both"/>
              <w:rPr>
                <w:rFonts w:ascii="PF DinDisplay Pro" w:eastAsia="Calibri" w:hAnsi="PF DinDisplay Pro"/>
                <w:lang w:eastAsia="en-US"/>
              </w:rPr>
            </w:pPr>
            <w:r>
              <w:rPr>
                <w:rFonts w:ascii="PF DinDisplay Pro" w:eastAsia="Calibri" w:hAnsi="PF DinDisplay Pro"/>
                <w:lang w:eastAsia="en-US"/>
              </w:rPr>
              <w:t>Трудно</w:t>
            </w:r>
          </w:p>
        </w:tc>
        <w:tc>
          <w:tcPr>
            <w:tcW w:w="1483" w:type="dxa"/>
          </w:tcPr>
          <w:p w:rsidR="00DA510F" w:rsidRDefault="00511252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7,8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DA510F" w:rsidTr="00C31A2D">
        <w:trPr>
          <w:trHeight w:val="276"/>
        </w:trPr>
        <w:tc>
          <w:tcPr>
            <w:tcW w:w="629" w:type="dxa"/>
            <w:vMerge w:val="restart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62" w:type="dxa"/>
            <w:vMerge w:val="restart"/>
          </w:tcPr>
          <w:p w:rsidR="00DA510F" w:rsidRDefault="00DA510F" w:rsidP="00387679">
            <w:pPr>
              <w:pStyle w:val="a3"/>
              <w:ind w:left="0"/>
              <w:jc w:val="both"/>
              <w:rPr>
                <w:rFonts w:ascii="PF DinDisplay Pro" w:eastAsia="Calibri" w:hAnsi="PF DinDisplay Pro"/>
                <w:lang w:eastAsia="en-US"/>
              </w:rPr>
            </w:pPr>
            <w:r w:rsidRPr="00A371BA">
              <w:rPr>
                <w:rFonts w:ascii="PF DinDisplay Pro" w:hAnsi="PF DinDisplay Pro"/>
              </w:rPr>
              <w:t xml:space="preserve">Удовлетворены ли вы сейчас студенческой жизнью? </w:t>
            </w:r>
          </w:p>
        </w:tc>
        <w:tc>
          <w:tcPr>
            <w:tcW w:w="2871" w:type="dxa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DA510F" w:rsidRDefault="00DA510F" w:rsidP="00577D2A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</w:t>
            </w:r>
            <w:r w:rsidR="00577D2A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DA510F" w:rsidTr="00C31A2D">
        <w:trPr>
          <w:trHeight w:val="85"/>
        </w:trPr>
        <w:tc>
          <w:tcPr>
            <w:tcW w:w="629" w:type="dxa"/>
            <w:vMerge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DA510F" w:rsidRPr="00A371BA" w:rsidRDefault="00DA510F" w:rsidP="00387679">
            <w:pPr>
              <w:pStyle w:val="a3"/>
              <w:ind w:left="0"/>
              <w:jc w:val="both"/>
              <w:rPr>
                <w:rFonts w:ascii="PF DinDisplay Pro" w:hAnsi="PF DinDisplay Pro"/>
              </w:rPr>
            </w:pPr>
          </w:p>
        </w:tc>
        <w:tc>
          <w:tcPr>
            <w:tcW w:w="2871" w:type="dxa"/>
          </w:tcPr>
          <w:p w:rsidR="00DA510F" w:rsidRDefault="00DA510F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DA510F" w:rsidRDefault="00577D2A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</w:t>
            </w:r>
            <w:r w:rsidR="00DA510F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3093" w:rsidTr="00C33093">
        <w:trPr>
          <w:trHeight w:val="490"/>
        </w:trPr>
        <w:tc>
          <w:tcPr>
            <w:tcW w:w="629" w:type="dxa"/>
          </w:tcPr>
          <w:p w:rsidR="00C33093" w:rsidRDefault="00C33093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16" w:type="dxa"/>
            <w:gridSpan w:val="3"/>
          </w:tcPr>
          <w:p w:rsidR="00C33093" w:rsidRPr="00A87A70" w:rsidRDefault="00C33093" w:rsidP="00387679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color w:val="FF0000"/>
                <w:sz w:val="24"/>
                <w:szCs w:val="24"/>
                <w:lang w:eastAsia="en-US"/>
              </w:rPr>
            </w:pPr>
            <w:r w:rsidRPr="00631C92">
              <w:rPr>
                <w:rFonts w:ascii="PF DinDisplay Pro" w:hAnsi="PF DinDisplay Pro"/>
                <w:sz w:val="24"/>
                <w:szCs w:val="24"/>
              </w:rPr>
              <w:t>Удовлетворены ли вы различными сторонами университетской жизни?</w:t>
            </w:r>
          </w:p>
        </w:tc>
      </w:tr>
      <w:tr w:rsidR="009E1688" w:rsidTr="009E1688">
        <w:trPr>
          <w:trHeight w:val="425"/>
        </w:trPr>
        <w:tc>
          <w:tcPr>
            <w:tcW w:w="629" w:type="dxa"/>
            <w:vMerge w:val="restart"/>
          </w:tcPr>
          <w:p w:rsidR="009E1688" w:rsidRDefault="009E1688" w:rsidP="00A87A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362" w:type="dxa"/>
            <w:vMerge w:val="restart"/>
          </w:tcPr>
          <w:p w:rsidR="009E1688" w:rsidRPr="00631C92" w:rsidRDefault="009E1688" w:rsidP="00A87A70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набором и содержанием учебных дисциплин</w:t>
            </w:r>
          </w:p>
        </w:tc>
        <w:tc>
          <w:tcPr>
            <w:tcW w:w="2871" w:type="dxa"/>
          </w:tcPr>
          <w:p w:rsidR="009E1688" w:rsidRDefault="009E1688" w:rsidP="00A87A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9E1688" w:rsidRDefault="009E1688" w:rsidP="00A87A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99,5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A87A70" w:rsidTr="00C31A2D">
        <w:trPr>
          <w:trHeight w:val="190"/>
        </w:trPr>
        <w:tc>
          <w:tcPr>
            <w:tcW w:w="629" w:type="dxa"/>
            <w:vMerge/>
          </w:tcPr>
          <w:p w:rsidR="00A87A70" w:rsidRDefault="00A87A70" w:rsidP="00A87A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A87A70" w:rsidRDefault="00A87A70" w:rsidP="00A87A70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A87A70" w:rsidRDefault="00A87A70" w:rsidP="00A87A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A87A70" w:rsidRDefault="00A87A70" w:rsidP="00A87A70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0,5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9E1688" w:rsidTr="009E1688">
        <w:trPr>
          <w:trHeight w:val="351"/>
        </w:trPr>
        <w:tc>
          <w:tcPr>
            <w:tcW w:w="629" w:type="dxa"/>
            <w:vMerge w:val="restart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362" w:type="dxa"/>
            <w:vMerge w:val="restart"/>
          </w:tcPr>
          <w:p w:rsidR="009E1688" w:rsidRDefault="009E1688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B4C8B">
              <w:rPr>
                <w:rFonts w:ascii="PF DinDisplay Pro" w:hAnsi="PF DinDisplay Pro"/>
                <w:sz w:val="24"/>
                <w:szCs w:val="24"/>
              </w:rPr>
              <w:t>организацией учебного процесса</w:t>
            </w:r>
          </w:p>
        </w:tc>
        <w:tc>
          <w:tcPr>
            <w:tcW w:w="2871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98,5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EB4C8B" w:rsidTr="00C31A2D">
        <w:trPr>
          <w:trHeight w:val="110"/>
        </w:trPr>
        <w:tc>
          <w:tcPr>
            <w:tcW w:w="629" w:type="dxa"/>
            <w:vMerge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EB4C8B" w:rsidRPr="00EB4C8B" w:rsidRDefault="00EB4C8B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1,6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9E1688" w:rsidTr="009E1688">
        <w:trPr>
          <w:trHeight w:val="361"/>
        </w:trPr>
        <w:tc>
          <w:tcPr>
            <w:tcW w:w="629" w:type="dxa"/>
            <w:vMerge w:val="restart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362" w:type="dxa"/>
            <w:vMerge w:val="restart"/>
          </w:tcPr>
          <w:p w:rsidR="009E1688" w:rsidRDefault="009E1688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B4C8B">
              <w:rPr>
                <w:rFonts w:ascii="PF DinDisplay Pro" w:hAnsi="PF DinDisplay Pro"/>
                <w:sz w:val="24"/>
                <w:szCs w:val="24"/>
              </w:rPr>
              <w:t>обеспеченностью учебно-методической литературой</w:t>
            </w:r>
          </w:p>
        </w:tc>
        <w:tc>
          <w:tcPr>
            <w:tcW w:w="2871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97,1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EB4C8B" w:rsidTr="00C31A2D">
        <w:trPr>
          <w:trHeight w:val="190"/>
        </w:trPr>
        <w:tc>
          <w:tcPr>
            <w:tcW w:w="629" w:type="dxa"/>
            <w:vMerge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EB4C8B" w:rsidRPr="00EB4C8B" w:rsidRDefault="00EB4C8B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2,9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9E1688" w:rsidTr="009E1688">
        <w:trPr>
          <w:trHeight w:val="357"/>
        </w:trPr>
        <w:tc>
          <w:tcPr>
            <w:tcW w:w="629" w:type="dxa"/>
            <w:vMerge w:val="restart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362" w:type="dxa"/>
            <w:vMerge w:val="restart"/>
          </w:tcPr>
          <w:p w:rsidR="009E1688" w:rsidRPr="00EB4C8B" w:rsidRDefault="009E1688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B4C8B">
              <w:rPr>
                <w:rFonts w:ascii="PF DinDisplay Pro" w:hAnsi="PF DinDisplay Pro"/>
                <w:sz w:val="24"/>
                <w:szCs w:val="24"/>
              </w:rPr>
              <w:t>технической оснащенностью аудиторий</w:t>
            </w:r>
          </w:p>
        </w:tc>
        <w:tc>
          <w:tcPr>
            <w:tcW w:w="2871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99,7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EB4C8B" w:rsidTr="00C31A2D">
        <w:trPr>
          <w:trHeight w:val="110"/>
        </w:trPr>
        <w:tc>
          <w:tcPr>
            <w:tcW w:w="629" w:type="dxa"/>
            <w:vMerge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EB4C8B" w:rsidRPr="00611EC7" w:rsidRDefault="00EB4C8B" w:rsidP="00EB4C8B">
            <w:pPr>
              <w:autoSpaceDE/>
              <w:autoSpaceDN/>
              <w:jc w:val="both"/>
              <w:rPr>
                <w:rFonts w:ascii="PF DinDisplay Pro" w:hAnsi="PF DinDisplay Pro"/>
              </w:rPr>
            </w:pPr>
          </w:p>
        </w:tc>
        <w:tc>
          <w:tcPr>
            <w:tcW w:w="2871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0,3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9E1688" w:rsidTr="009E1688">
        <w:trPr>
          <w:trHeight w:val="368"/>
        </w:trPr>
        <w:tc>
          <w:tcPr>
            <w:tcW w:w="629" w:type="dxa"/>
            <w:vMerge w:val="restart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362" w:type="dxa"/>
            <w:vMerge w:val="restart"/>
          </w:tcPr>
          <w:p w:rsidR="009E1688" w:rsidRPr="00EB4C8B" w:rsidRDefault="009E1688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B4C8B">
              <w:rPr>
                <w:rFonts w:ascii="PF DinDisplay Pro" w:hAnsi="PF DinDisplay Pro"/>
                <w:sz w:val="24"/>
                <w:szCs w:val="24"/>
              </w:rPr>
              <w:t>отношением с преподавателями</w:t>
            </w:r>
          </w:p>
        </w:tc>
        <w:tc>
          <w:tcPr>
            <w:tcW w:w="2871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99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EB4C8B" w:rsidTr="00C31A2D">
        <w:trPr>
          <w:trHeight w:val="110"/>
        </w:trPr>
        <w:tc>
          <w:tcPr>
            <w:tcW w:w="629" w:type="dxa"/>
            <w:vMerge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EB4C8B" w:rsidRPr="00EB4C8B" w:rsidRDefault="00EB4C8B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9E1688" w:rsidTr="009E1688">
        <w:trPr>
          <w:trHeight w:val="208"/>
        </w:trPr>
        <w:tc>
          <w:tcPr>
            <w:tcW w:w="629" w:type="dxa"/>
            <w:vMerge w:val="restart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362" w:type="dxa"/>
            <w:vMerge w:val="restart"/>
          </w:tcPr>
          <w:p w:rsidR="009E1688" w:rsidRPr="00EB4C8B" w:rsidRDefault="009E1688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B4C8B">
              <w:rPr>
                <w:rFonts w:ascii="PF DinDisplay Pro" w:hAnsi="PF DinDisplay Pro"/>
                <w:sz w:val="24"/>
                <w:szCs w:val="24"/>
              </w:rPr>
              <w:t>отношениями в группе</w:t>
            </w:r>
          </w:p>
        </w:tc>
        <w:tc>
          <w:tcPr>
            <w:tcW w:w="2871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9E1688" w:rsidRDefault="009E1688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97,6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EB4C8B" w:rsidTr="00C31A2D">
        <w:trPr>
          <w:trHeight w:val="110"/>
        </w:trPr>
        <w:tc>
          <w:tcPr>
            <w:tcW w:w="629" w:type="dxa"/>
            <w:vMerge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EB4C8B" w:rsidRPr="00EB4C8B" w:rsidRDefault="00EB4C8B" w:rsidP="00EB4C8B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EB4C8B" w:rsidRDefault="00EB4C8B" w:rsidP="00EB4C8B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2,4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10"/>
        </w:trPr>
        <w:tc>
          <w:tcPr>
            <w:tcW w:w="629" w:type="dxa"/>
            <w:vMerge w:val="restart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362" w:type="dxa"/>
            <w:vMerge w:val="restart"/>
          </w:tcPr>
          <w:p w:rsidR="00C31A2D" w:rsidRPr="00EB4C8B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C31A2D">
              <w:rPr>
                <w:rFonts w:ascii="PF DinDisplay Pro" w:hAnsi="PF DinDisplay Pro"/>
                <w:sz w:val="24"/>
                <w:szCs w:val="24"/>
              </w:rPr>
              <w:t>условиями питания</w:t>
            </w: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C31A2D" w:rsidRDefault="009E1688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94,2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10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Pr="00C31A2D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5,8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10"/>
        </w:trPr>
        <w:tc>
          <w:tcPr>
            <w:tcW w:w="629" w:type="dxa"/>
            <w:vMerge w:val="restart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362" w:type="dxa"/>
            <w:vMerge w:val="restart"/>
          </w:tcPr>
          <w:p w:rsidR="00C31A2D" w:rsidRPr="00611EC7" w:rsidRDefault="00C31A2D" w:rsidP="00C31A2D">
            <w:pPr>
              <w:jc w:val="both"/>
              <w:rPr>
                <w:rFonts w:ascii="PF DinDisplay Pro" w:hAnsi="PF DinDisplay Pro"/>
              </w:rPr>
            </w:pPr>
            <w:r w:rsidRPr="00C31A2D">
              <w:rPr>
                <w:rFonts w:ascii="PF DinDisplay Pro" w:hAnsi="PF DinDisplay Pro"/>
                <w:sz w:val="24"/>
                <w:szCs w:val="24"/>
              </w:rPr>
              <w:t>условиями для досуга</w:t>
            </w: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C31A2D" w:rsidRDefault="009E1688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98,5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10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Pr="00C31A2D" w:rsidRDefault="00C31A2D" w:rsidP="00C31A2D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C31A2D" w:rsidRDefault="009E1688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1,5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10"/>
        </w:trPr>
        <w:tc>
          <w:tcPr>
            <w:tcW w:w="629" w:type="dxa"/>
            <w:vMerge w:val="restart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362" w:type="dxa"/>
            <w:vMerge w:val="restart"/>
          </w:tcPr>
          <w:p w:rsidR="00C31A2D" w:rsidRPr="00C31A2D" w:rsidRDefault="00C31A2D" w:rsidP="00C31A2D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C31A2D">
              <w:rPr>
                <w:rFonts w:ascii="PF DinDisplay Pro" w:hAnsi="PF DinDisplay Pro"/>
                <w:sz w:val="24"/>
                <w:szCs w:val="24"/>
              </w:rPr>
              <w:t>организацией массовых мероприятий</w:t>
            </w: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C31A2D" w:rsidRDefault="009E1688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96,3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10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Pr="00C31A2D" w:rsidRDefault="00C31A2D" w:rsidP="00C31A2D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3,7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10"/>
        </w:trPr>
        <w:tc>
          <w:tcPr>
            <w:tcW w:w="629" w:type="dxa"/>
            <w:vMerge w:val="restart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362" w:type="dxa"/>
            <w:vMerge w:val="restart"/>
          </w:tcPr>
          <w:p w:rsidR="00C31A2D" w:rsidRPr="00C31A2D" w:rsidRDefault="00C31A2D" w:rsidP="00C31A2D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C31A2D">
              <w:rPr>
                <w:rFonts w:ascii="PF DinDisplay Pro" w:hAnsi="PF DinDisplay Pro"/>
                <w:sz w:val="24"/>
                <w:szCs w:val="24"/>
              </w:rPr>
              <w:t>возможностью заниматься спортом</w:t>
            </w: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C31A2D" w:rsidRDefault="009E1688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94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10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Pr="00C31A2D" w:rsidRDefault="00C31A2D" w:rsidP="00C31A2D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3093" w:rsidTr="00C31A2D">
        <w:trPr>
          <w:trHeight w:val="110"/>
        </w:trPr>
        <w:tc>
          <w:tcPr>
            <w:tcW w:w="629" w:type="dxa"/>
            <w:vMerge w:val="restart"/>
          </w:tcPr>
          <w:p w:rsidR="00C33093" w:rsidRDefault="00C33093" w:rsidP="00C33093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4362" w:type="dxa"/>
            <w:vMerge w:val="restart"/>
          </w:tcPr>
          <w:p w:rsidR="00C33093" w:rsidRPr="00C31A2D" w:rsidRDefault="00C33093" w:rsidP="00C33093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C31A2D">
              <w:rPr>
                <w:rFonts w:ascii="PF DinDisplay Pro" w:hAnsi="PF DinDisplay Pro"/>
                <w:sz w:val="24"/>
                <w:szCs w:val="24"/>
              </w:rPr>
              <w:t>возможностями для  творчества</w:t>
            </w:r>
          </w:p>
        </w:tc>
        <w:tc>
          <w:tcPr>
            <w:tcW w:w="2871" w:type="dxa"/>
          </w:tcPr>
          <w:p w:rsidR="00C33093" w:rsidRDefault="00C33093" w:rsidP="00C33093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C33093" w:rsidRDefault="009E1688" w:rsidP="00C33093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97</w:t>
            </w:r>
            <w:r w:rsidR="00C33093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,1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3093" w:rsidTr="009E1688">
        <w:trPr>
          <w:trHeight w:val="276"/>
        </w:trPr>
        <w:tc>
          <w:tcPr>
            <w:tcW w:w="629" w:type="dxa"/>
            <w:vMerge/>
          </w:tcPr>
          <w:p w:rsidR="00C33093" w:rsidRDefault="00C33093" w:rsidP="00C33093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3093" w:rsidRPr="00C31A2D" w:rsidRDefault="00C33093" w:rsidP="00C33093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3093" w:rsidRDefault="00C33093" w:rsidP="00C33093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C33093" w:rsidRDefault="00C33093" w:rsidP="009E1688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2,9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90"/>
        </w:trPr>
        <w:tc>
          <w:tcPr>
            <w:tcW w:w="629" w:type="dxa"/>
            <w:vMerge w:val="restart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62" w:type="dxa"/>
            <w:vMerge w:val="restart"/>
          </w:tcPr>
          <w:p w:rsidR="00C31A2D" w:rsidRPr="00631C92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0D2B7E">
              <w:rPr>
                <w:rFonts w:ascii="PF DinDisplay Pro" w:hAnsi="PF DinDisplay Pro"/>
                <w:sz w:val="24"/>
                <w:szCs w:val="24"/>
              </w:rPr>
              <w:t>Кто, на ваш взгляд, эффективнее всего оказывал вам помощь в адаптации?</w:t>
            </w:r>
          </w:p>
        </w:tc>
        <w:tc>
          <w:tcPr>
            <w:tcW w:w="2871" w:type="dxa"/>
          </w:tcPr>
          <w:p w:rsidR="00C31A2D" w:rsidRDefault="009E1688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Наставники Студенческого</w:t>
            </w:r>
            <w:r w:rsidR="00C31A2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 xml:space="preserve"> совет</w:t>
            </w:r>
          </w:p>
        </w:tc>
        <w:tc>
          <w:tcPr>
            <w:tcW w:w="1483" w:type="dxa"/>
          </w:tcPr>
          <w:p w:rsidR="00C31A2D" w:rsidRDefault="009E1688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</w:t>
            </w:r>
            <w:r w:rsidR="00C31A2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4%</w:t>
            </w:r>
          </w:p>
        </w:tc>
      </w:tr>
      <w:tr w:rsidR="00C31A2D" w:rsidTr="00C31A2D">
        <w:trPr>
          <w:trHeight w:val="190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Pr="000D2B7E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9E1688" w:rsidP="009E1688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Наставники Учебного отдела и кафедр</w:t>
            </w:r>
          </w:p>
        </w:tc>
        <w:tc>
          <w:tcPr>
            <w:tcW w:w="1483" w:type="dxa"/>
          </w:tcPr>
          <w:p w:rsidR="00C31A2D" w:rsidRDefault="009E1688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</w:t>
            </w:r>
            <w:r w:rsidR="00C31A2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6%</w:t>
            </w:r>
          </w:p>
        </w:tc>
      </w:tr>
      <w:tr w:rsidR="00C31A2D" w:rsidTr="00C31A2D">
        <w:trPr>
          <w:trHeight w:val="144"/>
        </w:trPr>
        <w:tc>
          <w:tcPr>
            <w:tcW w:w="629" w:type="dxa"/>
            <w:vMerge w:val="restart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62" w:type="dxa"/>
            <w:vMerge w:val="restart"/>
          </w:tcPr>
          <w:p w:rsidR="00C31A2D" w:rsidRPr="000D2B7E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Ч</w:t>
            </w:r>
            <w:r w:rsidRPr="003642AD">
              <w:rPr>
                <w:rFonts w:ascii="PF DinDisplay Pro" w:hAnsi="PF DinDisplay Pro"/>
                <w:sz w:val="24"/>
                <w:szCs w:val="24"/>
              </w:rPr>
              <w:t>то вызвало наибольшие проблемы в студенческой жизни в учебе?</w:t>
            </w: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О</w:t>
            </w:r>
            <w:r w:rsidRPr="003642A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собых проблем не было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65%</w:t>
            </w:r>
          </w:p>
        </w:tc>
      </w:tr>
      <w:tr w:rsidR="00C31A2D" w:rsidTr="00C31A2D">
        <w:trPr>
          <w:trHeight w:val="142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П</w:t>
            </w:r>
            <w:r w:rsidRPr="00413C6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ерегруженность учебными занятиями, неудобное расписание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16%</w:t>
            </w:r>
          </w:p>
        </w:tc>
      </w:tr>
      <w:tr w:rsidR="00C31A2D" w:rsidTr="00C31A2D">
        <w:trPr>
          <w:trHeight w:val="142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</w:t>
            </w:r>
            <w:r w:rsidRPr="00413C6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едостаток свободного времени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28%</w:t>
            </w:r>
          </w:p>
        </w:tc>
      </w:tr>
      <w:tr w:rsidR="00C31A2D" w:rsidTr="00C31A2D">
        <w:trPr>
          <w:trHeight w:val="142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Pr="00413C6C" w:rsidRDefault="00C31A2D" w:rsidP="00C31A2D">
            <w:pPr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С</w:t>
            </w:r>
            <w:r w:rsidRPr="00413C6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 xml:space="preserve">ложно привыкнуть к новой обстановке, </w:t>
            </w:r>
            <w:r w:rsidRPr="00413C6C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lastRenderedPageBreak/>
              <w:t>сходиться с новыми людьми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lastRenderedPageBreak/>
              <w:t>20%</w:t>
            </w:r>
          </w:p>
        </w:tc>
      </w:tr>
      <w:tr w:rsidR="009400B4" w:rsidTr="00C31A2D">
        <w:trPr>
          <w:trHeight w:val="285"/>
        </w:trPr>
        <w:tc>
          <w:tcPr>
            <w:tcW w:w="629" w:type="dxa"/>
            <w:vMerge w:val="restart"/>
          </w:tcPr>
          <w:p w:rsidR="009400B4" w:rsidRDefault="009400B4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62" w:type="dxa"/>
            <w:vMerge w:val="restart"/>
          </w:tcPr>
          <w:p w:rsidR="009400B4" w:rsidRDefault="009400B4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13C6C">
              <w:rPr>
                <w:rFonts w:ascii="PF DinDisplay Pro" w:hAnsi="PF DinDisplay Pro"/>
                <w:sz w:val="24"/>
                <w:szCs w:val="24"/>
              </w:rPr>
              <w:t>Удовлетворен студенческими отношениями в группе</w:t>
            </w:r>
            <w:r>
              <w:rPr>
                <w:rFonts w:ascii="PF DinDisplay Pro" w:hAnsi="PF DinDisplay Pro"/>
                <w:sz w:val="24"/>
                <w:szCs w:val="24"/>
              </w:rPr>
              <w:t>?</w:t>
            </w:r>
          </w:p>
        </w:tc>
        <w:tc>
          <w:tcPr>
            <w:tcW w:w="2871" w:type="dxa"/>
          </w:tcPr>
          <w:p w:rsidR="009400B4" w:rsidRDefault="009400B4" w:rsidP="00C31A2D">
            <w:pPr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Удовлетворен</w:t>
            </w:r>
          </w:p>
        </w:tc>
        <w:tc>
          <w:tcPr>
            <w:tcW w:w="1483" w:type="dxa"/>
          </w:tcPr>
          <w:p w:rsidR="009400B4" w:rsidRDefault="009400B4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98,7%</w:t>
            </w:r>
          </w:p>
        </w:tc>
      </w:tr>
      <w:tr w:rsidR="009400B4" w:rsidTr="00C31A2D">
        <w:trPr>
          <w:trHeight w:val="285"/>
        </w:trPr>
        <w:tc>
          <w:tcPr>
            <w:tcW w:w="629" w:type="dxa"/>
            <w:vMerge/>
          </w:tcPr>
          <w:p w:rsidR="009400B4" w:rsidRDefault="009400B4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9400B4" w:rsidRPr="00413C6C" w:rsidRDefault="009400B4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9400B4" w:rsidRDefault="009400B4" w:rsidP="00C31A2D">
            <w:pPr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 xml:space="preserve">Нейтрально </w:t>
            </w:r>
          </w:p>
        </w:tc>
        <w:tc>
          <w:tcPr>
            <w:tcW w:w="1483" w:type="dxa"/>
          </w:tcPr>
          <w:p w:rsidR="009400B4" w:rsidRDefault="009400B4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1%</w:t>
            </w:r>
          </w:p>
        </w:tc>
      </w:tr>
      <w:tr w:rsidR="009400B4" w:rsidTr="00C31A2D">
        <w:trPr>
          <w:trHeight w:val="285"/>
        </w:trPr>
        <w:tc>
          <w:tcPr>
            <w:tcW w:w="629" w:type="dxa"/>
            <w:vMerge/>
          </w:tcPr>
          <w:p w:rsidR="009400B4" w:rsidRDefault="009400B4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9400B4" w:rsidRPr="00413C6C" w:rsidRDefault="009400B4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9400B4" w:rsidRDefault="009400B4" w:rsidP="00C31A2D">
            <w:pPr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Не удовлетворен</w:t>
            </w:r>
          </w:p>
        </w:tc>
        <w:tc>
          <w:tcPr>
            <w:tcW w:w="1483" w:type="dxa"/>
          </w:tcPr>
          <w:p w:rsidR="009400B4" w:rsidRDefault="009400B4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0,3</w:t>
            </w:r>
            <w:r w:rsidR="00FD736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  <w:bookmarkStart w:id="0" w:name="_GoBack"/>
            <w:bookmarkEnd w:id="0"/>
          </w:p>
        </w:tc>
      </w:tr>
      <w:tr w:rsidR="00C31A2D" w:rsidTr="00C31A2D">
        <w:trPr>
          <w:trHeight w:val="435"/>
        </w:trPr>
        <w:tc>
          <w:tcPr>
            <w:tcW w:w="629" w:type="dxa"/>
            <w:vMerge w:val="restart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62" w:type="dxa"/>
            <w:vMerge w:val="restart"/>
          </w:tcPr>
          <w:p w:rsidR="00C31A2D" w:rsidRPr="00413C6C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13C6C">
              <w:rPr>
                <w:rFonts w:ascii="PF DinDisplay Pro" w:hAnsi="PF DinDisplay Pro"/>
                <w:sz w:val="24"/>
                <w:szCs w:val="24"/>
              </w:rPr>
              <w:t>Не жалеете ли вы о том, что стали студентом нашего университета?</w:t>
            </w:r>
          </w:p>
          <w:p w:rsidR="00C31A2D" w:rsidRPr="00413C6C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C31A2D" w:rsidP="00C31A2D">
            <w:pPr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413C6C">
              <w:rPr>
                <w:rFonts w:ascii="PF DinDisplay Pro" w:hAnsi="PF DinDisplay Pro"/>
                <w:sz w:val="24"/>
                <w:szCs w:val="24"/>
              </w:rPr>
              <w:t>Жалеет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0%</w:t>
            </w:r>
          </w:p>
        </w:tc>
      </w:tr>
      <w:tr w:rsidR="00C31A2D" w:rsidTr="00C31A2D">
        <w:trPr>
          <w:trHeight w:val="435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Pr="00413C6C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Default="00C31A2D" w:rsidP="00C31A2D">
            <w:pPr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 w:rsidRPr="00413C6C">
              <w:rPr>
                <w:rFonts w:ascii="PF DinDisplay Pro" w:hAnsi="PF DinDisplay Pro"/>
                <w:sz w:val="24"/>
                <w:szCs w:val="24"/>
              </w:rPr>
              <w:t>Не жалеет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100%</w:t>
            </w:r>
          </w:p>
        </w:tc>
      </w:tr>
      <w:tr w:rsidR="00C31A2D" w:rsidTr="00C31A2D">
        <w:trPr>
          <w:trHeight w:val="190"/>
        </w:trPr>
        <w:tc>
          <w:tcPr>
            <w:tcW w:w="629" w:type="dxa"/>
            <w:vMerge w:val="restart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62" w:type="dxa"/>
            <w:vMerge w:val="restart"/>
          </w:tcPr>
          <w:p w:rsidR="00C31A2D" w:rsidRPr="00413C6C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13C6C">
              <w:rPr>
                <w:rFonts w:ascii="PF DinDisplay Pro" w:hAnsi="PF DinDisplay Pro"/>
                <w:sz w:val="24"/>
                <w:szCs w:val="24"/>
              </w:rPr>
              <w:t>Как вы считаете, правильно вы выбрали свою будущую профессию?</w:t>
            </w:r>
          </w:p>
        </w:tc>
        <w:tc>
          <w:tcPr>
            <w:tcW w:w="2871" w:type="dxa"/>
          </w:tcPr>
          <w:p w:rsidR="00C31A2D" w:rsidRPr="00413C6C" w:rsidRDefault="00C31A2D" w:rsidP="00C31A2D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Правильно </w:t>
            </w:r>
          </w:p>
        </w:tc>
        <w:tc>
          <w:tcPr>
            <w:tcW w:w="1483" w:type="dxa"/>
          </w:tcPr>
          <w:p w:rsidR="00C31A2D" w:rsidRDefault="006504EF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9</w:t>
            </w:r>
            <w:r w:rsidR="00C31A2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6</w:t>
            </w: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,1</w:t>
            </w:r>
            <w:r w:rsidR="00C31A2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  <w:tr w:rsidR="00C31A2D" w:rsidTr="00C31A2D">
        <w:trPr>
          <w:trHeight w:val="190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Pr="00413C6C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Pr="00413C6C" w:rsidRDefault="00C31A2D" w:rsidP="00C31A2D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Ошибся с выбором</w:t>
            </w:r>
          </w:p>
        </w:tc>
        <w:tc>
          <w:tcPr>
            <w:tcW w:w="1483" w:type="dxa"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0%</w:t>
            </w:r>
          </w:p>
        </w:tc>
      </w:tr>
      <w:tr w:rsidR="00C31A2D" w:rsidTr="00C31A2D">
        <w:trPr>
          <w:trHeight w:val="190"/>
        </w:trPr>
        <w:tc>
          <w:tcPr>
            <w:tcW w:w="629" w:type="dxa"/>
            <w:vMerge/>
          </w:tcPr>
          <w:p w:rsidR="00C31A2D" w:rsidRDefault="00C31A2D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vMerge/>
          </w:tcPr>
          <w:p w:rsidR="00C31A2D" w:rsidRPr="00413C6C" w:rsidRDefault="00C31A2D" w:rsidP="00C31A2D">
            <w:pPr>
              <w:autoSpaceDE/>
              <w:autoSpaceDN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2871" w:type="dxa"/>
          </w:tcPr>
          <w:p w:rsidR="00C31A2D" w:rsidRPr="00413C6C" w:rsidRDefault="00C31A2D" w:rsidP="00C31A2D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13C6C">
              <w:rPr>
                <w:rFonts w:ascii="PF DinDisplay Pro" w:hAnsi="PF DinDisplay Pro"/>
                <w:sz w:val="24"/>
                <w:szCs w:val="24"/>
              </w:rPr>
              <w:t>Пока не знаю</w:t>
            </w:r>
          </w:p>
        </w:tc>
        <w:tc>
          <w:tcPr>
            <w:tcW w:w="1483" w:type="dxa"/>
          </w:tcPr>
          <w:p w:rsidR="00C31A2D" w:rsidRDefault="006504EF" w:rsidP="00C31A2D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3,9</w:t>
            </w:r>
            <w:r w:rsidR="00C31A2D">
              <w:rPr>
                <w:rFonts w:ascii="PF DinDisplay Pro" w:eastAsia="Calibri" w:hAnsi="PF DinDisplay Pro"/>
                <w:sz w:val="24"/>
                <w:szCs w:val="24"/>
                <w:lang w:eastAsia="en-US"/>
              </w:rPr>
              <w:t>%</w:t>
            </w:r>
          </w:p>
        </w:tc>
      </w:tr>
    </w:tbl>
    <w:p w:rsidR="00DA510F" w:rsidRPr="00257676" w:rsidRDefault="00DA510F" w:rsidP="00DA510F">
      <w:pPr>
        <w:tabs>
          <w:tab w:val="left" w:pos="1134"/>
        </w:tabs>
        <w:autoSpaceDE/>
        <w:autoSpaceDN/>
        <w:spacing w:line="276" w:lineRule="auto"/>
        <w:ind w:firstLine="709"/>
        <w:jc w:val="both"/>
        <w:rPr>
          <w:rFonts w:ascii="PF DinDisplay Pro" w:eastAsia="Calibri" w:hAnsi="PF DinDisplay Pro"/>
          <w:sz w:val="24"/>
          <w:szCs w:val="24"/>
          <w:lang w:eastAsia="en-US"/>
        </w:rPr>
      </w:pPr>
      <w:r w:rsidRPr="00257676">
        <w:rPr>
          <w:rFonts w:ascii="PF DinDisplay Pro" w:eastAsia="Calibri" w:hAnsi="PF DinDisplay Pro"/>
          <w:sz w:val="24"/>
          <w:szCs w:val="24"/>
          <w:lang w:eastAsia="en-US"/>
        </w:rPr>
        <w:t>Анализ исследования уровня адаптации студентов – первокурсников показал:</w:t>
      </w:r>
    </w:p>
    <w:p w:rsidR="00DA510F" w:rsidRPr="00257676" w:rsidRDefault="00DA510F" w:rsidP="00DA510F">
      <w:pPr>
        <w:tabs>
          <w:tab w:val="left" w:pos="1134"/>
        </w:tabs>
        <w:autoSpaceDE/>
        <w:autoSpaceDN/>
        <w:spacing w:line="276" w:lineRule="auto"/>
        <w:ind w:firstLine="709"/>
        <w:jc w:val="both"/>
        <w:rPr>
          <w:rFonts w:ascii="PF DinDisplay Pro" w:eastAsia="Calibri" w:hAnsi="PF DinDisplay Pro"/>
          <w:sz w:val="24"/>
          <w:szCs w:val="24"/>
          <w:lang w:eastAsia="en-US"/>
        </w:rPr>
      </w:pPr>
      <w:r w:rsidRPr="00257676">
        <w:rPr>
          <w:rFonts w:ascii="PF DinDisplay Pro" w:eastAsia="Calibri" w:hAnsi="PF DinDisplay Pro"/>
          <w:sz w:val="24"/>
          <w:szCs w:val="24"/>
          <w:lang w:eastAsia="en-US"/>
        </w:rPr>
        <w:t>Доля первокурсников, удовлетворенных условиями адаптации к обу</w:t>
      </w:r>
      <w:r w:rsidR="008712C9">
        <w:rPr>
          <w:rFonts w:ascii="PF DinDisplay Pro" w:eastAsia="Calibri" w:hAnsi="PF DinDisplay Pro"/>
          <w:sz w:val="24"/>
          <w:szCs w:val="24"/>
          <w:lang w:eastAsia="en-US"/>
        </w:rPr>
        <w:t>чению в Университете составила 9</w:t>
      </w:r>
      <w:r w:rsidRPr="00257676">
        <w:rPr>
          <w:rFonts w:ascii="PF DinDisplay Pro" w:eastAsia="Calibri" w:hAnsi="PF DinDisplay Pro"/>
          <w:sz w:val="24"/>
          <w:szCs w:val="24"/>
          <w:lang w:eastAsia="en-US"/>
        </w:rPr>
        <w:t>7 % из числа рес</w:t>
      </w:r>
      <w:r w:rsidR="008712C9">
        <w:rPr>
          <w:rFonts w:ascii="PF DinDisplay Pro" w:eastAsia="Calibri" w:hAnsi="PF DinDisplay Pro"/>
          <w:sz w:val="24"/>
          <w:szCs w:val="24"/>
          <w:lang w:eastAsia="en-US"/>
        </w:rPr>
        <w:t>пондентов при доле опрошенных 85</w:t>
      </w:r>
      <w:r>
        <w:rPr>
          <w:rFonts w:ascii="PF DinDisplay Pro" w:eastAsia="Calibri" w:hAnsi="PF DinDisplay Pro"/>
          <w:sz w:val="24"/>
          <w:szCs w:val="24"/>
          <w:lang w:eastAsia="en-US"/>
        </w:rPr>
        <w:t>% первокурсников в Университете.</w:t>
      </w:r>
    </w:p>
    <w:p w:rsidR="00DA510F" w:rsidRDefault="00DA510F" w:rsidP="00DA510F"/>
    <w:p w:rsidR="00AD2D9E" w:rsidRDefault="00AD2D9E"/>
    <w:sectPr w:rsidR="00AD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079F1"/>
    <w:multiLevelType w:val="hybridMultilevel"/>
    <w:tmpl w:val="76CE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8C"/>
    <w:rsid w:val="00511252"/>
    <w:rsid w:val="005673C8"/>
    <w:rsid w:val="00577D2A"/>
    <w:rsid w:val="006504EF"/>
    <w:rsid w:val="008712C9"/>
    <w:rsid w:val="009400B4"/>
    <w:rsid w:val="009E1688"/>
    <w:rsid w:val="00A87A70"/>
    <w:rsid w:val="00AD2D9E"/>
    <w:rsid w:val="00C31A2D"/>
    <w:rsid w:val="00C33093"/>
    <w:rsid w:val="00C9418C"/>
    <w:rsid w:val="00DA510F"/>
    <w:rsid w:val="00EB4C8B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80A3"/>
  <w15:chartTrackingRefBased/>
  <w15:docId w15:val="{55A2EF46-E258-4FD2-A7FB-4706CE84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510F"/>
    <w:pPr>
      <w:autoSpaceDE/>
      <w:autoSpaceDN/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DA51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locked/>
    <w:rsid w:val="00DA51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6</cp:revision>
  <dcterms:created xsi:type="dcterms:W3CDTF">2025-01-20T06:38:00Z</dcterms:created>
  <dcterms:modified xsi:type="dcterms:W3CDTF">2025-01-20T12:29:00Z</dcterms:modified>
</cp:coreProperties>
</file>